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51"/>
        <w:gridCol w:w="3824"/>
        <w:gridCol w:w="905"/>
        <w:gridCol w:w="3557"/>
        <w:gridCol w:w="1499"/>
      </w:tblGrid>
      <w:tr w:rsidR="00356978" w:rsidTr="002D084B">
        <w:trPr>
          <w:trHeight w:val="738"/>
        </w:trPr>
        <w:tc>
          <w:tcPr>
            <w:tcW w:w="10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3E41"/>
            <w:vAlign w:val="center"/>
          </w:tcPr>
          <w:p w:rsidR="00356978" w:rsidRPr="00311A90" w:rsidRDefault="00356978" w:rsidP="00025EC9">
            <w:pPr>
              <w:spacing w:line="360" w:lineRule="exact"/>
              <w:jc w:val="center"/>
              <w:rPr>
                <w:rFonts w:ascii="Minion Pro" w:hAnsi="Minion Pro"/>
                <w:b/>
                <w:color w:val="F6861F"/>
                <w:sz w:val="36"/>
                <w:szCs w:val="36"/>
                <w:vertAlign w:val="subscript"/>
              </w:rPr>
            </w:pPr>
            <w:r w:rsidRPr="0092430A">
              <w:rPr>
                <w:rFonts w:ascii="Minion Pro" w:hAnsi="Minion Pro"/>
                <w:b/>
                <w:color w:val="F6861F"/>
                <w:sz w:val="32"/>
                <w:szCs w:val="32"/>
              </w:rPr>
              <w:t>FOCUS O</w:t>
            </w:r>
            <w:r w:rsidR="0092430A" w:rsidRPr="0092430A">
              <w:rPr>
                <w:rFonts w:ascii="Minion Pro" w:hAnsi="Minion Pro"/>
                <w:b/>
                <w:color w:val="F6861F"/>
                <w:sz w:val="32"/>
                <w:szCs w:val="32"/>
              </w:rPr>
              <w:t>F THE 2018-2019 SCHOOL IMPROVEMENT PLAN</w:t>
            </w:r>
            <w:r w:rsidR="0092430A">
              <w:rPr>
                <w:rFonts w:ascii="Minion Pro" w:hAnsi="Minion Pro"/>
                <w:b/>
                <w:color w:val="F6861F"/>
                <w:sz w:val="36"/>
                <w:szCs w:val="36"/>
              </w:rPr>
              <w:t xml:space="preserve"> </w:t>
            </w:r>
            <w:r w:rsidR="0092430A" w:rsidRPr="0092430A">
              <w:rPr>
                <w:rFonts w:ascii="Minion Pro" w:hAnsi="Minion Pro"/>
                <w:b/>
                <w:color w:val="F6861F"/>
                <w:sz w:val="20"/>
                <w:szCs w:val="20"/>
              </w:rPr>
              <w:t>(SIPSAW)</w:t>
            </w:r>
          </w:p>
          <w:p w:rsidR="00356978" w:rsidRPr="00E82CB5" w:rsidRDefault="0092430A" w:rsidP="00025EC9">
            <w:pPr>
              <w:spacing w:line="300" w:lineRule="exact"/>
              <w:jc w:val="center"/>
            </w:pPr>
            <w:r>
              <w:rPr>
                <w:rFonts w:ascii="Minion Pro" w:hAnsi="Minion Pro"/>
                <w:b/>
                <w:color w:val="FFFFFF" w:themeColor="background1"/>
              </w:rPr>
              <w:t>THE CORE PRIORITIES FOR IMPLEMENTATION BY SCHOOL ADMINISTRATORS AND TEAMS</w:t>
            </w:r>
          </w:p>
        </w:tc>
      </w:tr>
      <w:tr w:rsidR="00AD6FEE" w:rsidTr="008004EC">
        <w:trPr>
          <w:gridAfter w:val="1"/>
          <w:wAfter w:w="1499" w:type="dxa"/>
          <w:trHeight w:val="624"/>
        </w:trPr>
        <w:tc>
          <w:tcPr>
            <w:tcW w:w="4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6FEE" w:rsidRPr="00025EC9" w:rsidRDefault="00AD6FEE" w:rsidP="00AD6FEE">
            <w:pPr>
              <w:spacing w:before="60" w:line="200" w:lineRule="exact"/>
              <w:rPr>
                <w:rFonts w:ascii="Minion Pro" w:hAnsi="Minion Pro"/>
                <w:color w:val="009B9B"/>
                <w:sz w:val="32"/>
                <w:szCs w:val="32"/>
              </w:rPr>
            </w:pPr>
            <w:r w:rsidRPr="00025EC9">
              <w:rPr>
                <w:rFonts w:ascii="Minion Pro" w:hAnsi="Minion Pro"/>
                <w:sz w:val="20"/>
                <w:szCs w:val="20"/>
              </w:rPr>
              <w:t>School Name</w:t>
            </w:r>
            <w:r w:rsidR="0092430A">
              <w:rPr>
                <w:rFonts w:ascii="Minion Pro" w:hAnsi="Minion Pro"/>
                <w:sz w:val="20"/>
                <w:szCs w:val="20"/>
              </w:rPr>
              <w:t>:</w:t>
            </w:r>
            <w:r w:rsidR="00B561C6">
              <w:rPr>
                <w:rFonts w:ascii="Minion Pro" w:hAnsi="Minion Pro"/>
                <w:sz w:val="20"/>
                <w:szCs w:val="20"/>
              </w:rPr>
              <w:t xml:space="preserve"> Julie Payette PS</w:t>
            </w:r>
          </w:p>
        </w:tc>
        <w:tc>
          <w:tcPr>
            <w:tcW w:w="4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6FEE" w:rsidRDefault="0092430A" w:rsidP="00025EC9">
            <w:pPr>
              <w:spacing w:before="60" w:line="200" w:lineRule="exact"/>
              <w:rPr>
                <w:rFonts w:ascii="Minion Pro" w:hAnsi="Minion Pro"/>
                <w:sz w:val="20"/>
                <w:szCs w:val="20"/>
              </w:rPr>
            </w:pPr>
            <w:r>
              <w:rPr>
                <w:rFonts w:ascii="Minion Pro" w:hAnsi="Minion Pro"/>
                <w:sz w:val="20"/>
                <w:szCs w:val="20"/>
              </w:rPr>
              <w:t>Principal:</w:t>
            </w:r>
            <w:r w:rsidR="00B561C6">
              <w:rPr>
                <w:rFonts w:ascii="Minion Pro" w:hAnsi="Minion Pro"/>
                <w:sz w:val="20"/>
                <w:szCs w:val="20"/>
              </w:rPr>
              <w:t xml:space="preserve"> Andrea Williams</w:t>
            </w:r>
          </w:p>
          <w:p w:rsidR="0044471D" w:rsidRPr="00025EC9" w:rsidRDefault="0044471D" w:rsidP="00025EC9">
            <w:pPr>
              <w:spacing w:before="60" w:line="200" w:lineRule="exact"/>
              <w:rPr>
                <w:rFonts w:ascii="Minion Pro" w:hAnsi="Minion Pro"/>
                <w:sz w:val="20"/>
                <w:szCs w:val="20"/>
              </w:rPr>
            </w:pPr>
            <w:r>
              <w:rPr>
                <w:rFonts w:ascii="Minion Pro" w:hAnsi="Minion Pro"/>
                <w:sz w:val="20"/>
                <w:szCs w:val="20"/>
              </w:rPr>
              <w:t>Vice Principal: Amy Atkinson</w:t>
            </w:r>
          </w:p>
        </w:tc>
      </w:tr>
      <w:tr w:rsidR="00356978" w:rsidTr="00066B2D">
        <w:trPr>
          <w:cantSplit/>
          <w:trHeight w:val="401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356978" w:rsidRPr="00356978" w:rsidRDefault="00356978" w:rsidP="007F2734">
            <w:pPr>
              <w:ind w:left="113" w:right="113"/>
              <w:rPr>
                <w:rFonts w:ascii="Myriad Pro" w:hAnsi="Myriad Pro"/>
                <w:b/>
                <w:color w:val="BBBDC0"/>
                <w:sz w:val="72"/>
                <w:szCs w:val="72"/>
              </w:rPr>
            </w:pPr>
          </w:p>
        </w:tc>
        <w:tc>
          <w:tcPr>
            <w:tcW w:w="4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E3F5"/>
          </w:tcPr>
          <w:p w:rsidR="00356978" w:rsidRPr="00356978" w:rsidRDefault="00356978" w:rsidP="0044471D">
            <w:pPr>
              <w:rPr>
                <w:rFonts w:ascii="Myriad Pro" w:hAnsi="Myriad Pro"/>
                <w:b/>
                <w:color w:val="5A3076"/>
                <w:sz w:val="28"/>
                <w:szCs w:val="28"/>
              </w:rPr>
            </w:pPr>
            <w:r w:rsidRPr="00356978">
              <w:rPr>
                <w:rFonts w:ascii="Myriad Pro" w:hAnsi="Myriad Pro"/>
                <w:b/>
                <w:color w:val="5A3076"/>
                <w:sz w:val="28"/>
                <w:szCs w:val="28"/>
              </w:rPr>
              <w:t>LITERACY</w:t>
            </w:r>
          </w:p>
          <w:p w:rsidR="00066B2D" w:rsidRDefault="00025EC9" w:rsidP="0044471D">
            <w:pPr>
              <w:spacing w:before="60" w:line="260" w:lineRule="exact"/>
              <w:rPr>
                <w:rFonts w:ascii="Myriad Pro" w:hAnsi="Myriad Pro"/>
                <w:sz w:val="18"/>
                <w:szCs w:val="18"/>
              </w:rPr>
            </w:pPr>
            <w:r w:rsidRPr="00066B2D">
              <w:rPr>
                <w:rFonts w:ascii="Myriad Pro" w:hAnsi="Myriad Pro"/>
                <w:b/>
              </w:rPr>
              <w:t>The What</w:t>
            </w:r>
            <w:r w:rsidRPr="00025EC9">
              <w:rPr>
                <w:rFonts w:ascii="Myriad Pro" w:hAnsi="Myriad Pro"/>
                <w:sz w:val="18"/>
                <w:szCs w:val="18"/>
              </w:rPr>
              <w:t>:</w:t>
            </w:r>
            <w:r w:rsidR="00B561C6">
              <w:rPr>
                <w:rFonts w:ascii="Myriad Pro" w:hAnsi="Myriad Pro"/>
                <w:sz w:val="18"/>
                <w:szCs w:val="18"/>
              </w:rPr>
              <w:t xml:space="preserve"> </w:t>
            </w:r>
          </w:p>
          <w:p w:rsidR="00356978" w:rsidRPr="00025EC9" w:rsidRDefault="00B561C6" w:rsidP="0044471D">
            <w:pPr>
              <w:spacing w:before="60" w:line="260" w:lineRule="exact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We are focusing on the following competencies across all curricular areas: personal and social, communication and thinking. These needs were identified through our data analysis. Specifically, we are looking at rich tasks/questions to allow for meaningful student discourse where students share, build and communicate their thinking and reasoning.</w:t>
            </w:r>
            <w:r w:rsidR="0044471D">
              <w:rPr>
                <w:rFonts w:ascii="Myriad Pro" w:hAnsi="Myriad Pro"/>
                <w:sz w:val="18"/>
                <w:szCs w:val="18"/>
              </w:rPr>
              <w:t xml:space="preserve"> Staff are guiding students through of tools and strategies to build their capacity to think critically and communicate their thinking. </w:t>
            </w:r>
          </w:p>
          <w:p w:rsidR="00025EC9" w:rsidRPr="00025EC9" w:rsidRDefault="00025EC9" w:rsidP="0044471D">
            <w:pPr>
              <w:spacing w:before="60" w:line="260" w:lineRule="exact"/>
              <w:rPr>
                <w:rFonts w:ascii="Myriad Pro" w:hAnsi="Myriad Pro"/>
                <w:sz w:val="18"/>
                <w:szCs w:val="18"/>
              </w:rPr>
            </w:pPr>
          </w:p>
          <w:p w:rsidR="00025EC9" w:rsidRPr="00066B2D" w:rsidRDefault="00025EC9" w:rsidP="0044471D">
            <w:pPr>
              <w:spacing w:before="60" w:line="260" w:lineRule="exact"/>
              <w:rPr>
                <w:rFonts w:ascii="Myriad Pro" w:hAnsi="Myriad Pro"/>
                <w:b/>
              </w:rPr>
            </w:pPr>
            <w:r w:rsidRPr="00066B2D">
              <w:rPr>
                <w:rFonts w:ascii="Myriad Pro" w:hAnsi="Myriad Pro"/>
                <w:b/>
              </w:rPr>
              <w:t>The How:</w:t>
            </w:r>
          </w:p>
          <w:p w:rsidR="00025EC9" w:rsidRPr="00066B2D" w:rsidRDefault="00B561C6" w:rsidP="0044471D">
            <w:pPr>
              <w:spacing w:before="60" w:line="260" w:lineRule="exact"/>
              <w:rPr>
                <w:rFonts w:ascii="Myriad Pro" w:hAnsi="Myriad Pro"/>
                <w:sz w:val="18"/>
                <w:szCs w:val="18"/>
              </w:rPr>
            </w:pPr>
            <w:r w:rsidRPr="00066B2D">
              <w:rPr>
                <w:rFonts w:ascii="Myriad Pro" w:hAnsi="Myriad Pro"/>
                <w:sz w:val="18"/>
                <w:szCs w:val="18"/>
              </w:rPr>
              <w:t>Staff will co-create rich tasks/questions.</w:t>
            </w:r>
          </w:p>
          <w:p w:rsidR="00B561C6" w:rsidRPr="00066B2D" w:rsidRDefault="00B561C6" w:rsidP="0044471D">
            <w:pPr>
              <w:spacing w:before="60" w:line="260" w:lineRule="exact"/>
              <w:rPr>
                <w:rFonts w:ascii="Myriad Pro" w:hAnsi="Myriad Pro"/>
                <w:sz w:val="18"/>
                <w:szCs w:val="18"/>
              </w:rPr>
            </w:pPr>
            <w:r w:rsidRPr="00066B2D">
              <w:rPr>
                <w:rFonts w:ascii="Myriad Pro" w:hAnsi="Myriad Pro"/>
                <w:sz w:val="18"/>
                <w:szCs w:val="18"/>
              </w:rPr>
              <w:t xml:space="preserve">Staff will </w:t>
            </w:r>
            <w:r w:rsidR="0044471D" w:rsidRPr="00066B2D">
              <w:rPr>
                <w:rFonts w:ascii="Myriad Pro" w:hAnsi="Myriad Pro"/>
                <w:sz w:val="18"/>
                <w:szCs w:val="18"/>
              </w:rPr>
              <w:t>collaborate to select precise prompts to guide purposeful communication.</w:t>
            </w:r>
          </w:p>
          <w:p w:rsidR="0044471D" w:rsidRPr="00066B2D" w:rsidRDefault="0044471D" w:rsidP="0044471D">
            <w:pPr>
              <w:spacing w:before="60" w:line="260" w:lineRule="exact"/>
              <w:rPr>
                <w:rFonts w:ascii="Myriad Pro" w:hAnsi="Myriad Pro"/>
                <w:sz w:val="18"/>
                <w:szCs w:val="18"/>
              </w:rPr>
            </w:pPr>
            <w:r w:rsidRPr="00066B2D">
              <w:rPr>
                <w:rFonts w:ascii="Myriad Pro" w:hAnsi="Myriad Pro"/>
                <w:sz w:val="18"/>
                <w:szCs w:val="18"/>
              </w:rPr>
              <w:t>Staff and students will use a common framework for communication strategies.</w:t>
            </w:r>
          </w:p>
          <w:p w:rsidR="0044471D" w:rsidRPr="00066B2D" w:rsidRDefault="0044471D" w:rsidP="0044471D">
            <w:pPr>
              <w:spacing w:before="60" w:line="260" w:lineRule="exact"/>
              <w:rPr>
                <w:rFonts w:ascii="Myriad Pro" w:hAnsi="Myriad Pro"/>
                <w:sz w:val="18"/>
                <w:szCs w:val="18"/>
              </w:rPr>
            </w:pPr>
            <w:r w:rsidRPr="00066B2D">
              <w:rPr>
                <w:rFonts w:ascii="Myriad Pro" w:hAnsi="Myriad Pro"/>
                <w:sz w:val="18"/>
                <w:szCs w:val="18"/>
              </w:rPr>
              <w:t>Students will engage in rich, authentic and higher order questions.</w:t>
            </w:r>
          </w:p>
          <w:p w:rsidR="00E82CB5" w:rsidRDefault="00E82CB5" w:rsidP="0044471D">
            <w:pPr>
              <w:spacing w:before="60" w:line="260" w:lineRule="exact"/>
              <w:rPr>
                <w:rFonts w:ascii="Myriad Pro" w:hAnsi="Myriad Pro"/>
              </w:rPr>
            </w:pPr>
          </w:p>
          <w:p w:rsidR="00E82CB5" w:rsidRPr="00FD31AF" w:rsidRDefault="00E82CB5" w:rsidP="0044471D">
            <w:pPr>
              <w:spacing w:before="60" w:line="260" w:lineRule="exact"/>
              <w:rPr>
                <w:rFonts w:ascii="Myriad Pro" w:hAnsi="Myriad Pro"/>
              </w:rPr>
            </w:pPr>
          </w:p>
        </w:tc>
        <w:tc>
          <w:tcPr>
            <w:tcW w:w="5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5FEFF"/>
          </w:tcPr>
          <w:p w:rsidR="00356978" w:rsidRPr="00356978" w:rsidRDefault="00356978" w:rsidP="0044471D">
            <w:pPr>
              <w:rPr>
                <w:rFonts w:ascii="Myriad Pro" w:hAnsi="Myriad Pro"/>
                <w:b/>
                <w:color w:val="009196"/>
                <w:sz w:val="28"/>
                <w:szCs w:val="28"/>
              </w:rPr>
            </w:pPr>
            <w:r w:rsidRPr="00356978">
              <w:rPr>
                <w:rFonts w:ascii="Myriad Pro" w:hAnsi="Myriad Pro"/>
                <w:b/>
                <w:color w:val="009196"/>
                <w:sz w:val="28"/>
                <w:szCs w:val="28"/>
              </w:rPr>
              <w:t>NUMERACY</w:t>
            </w:r>
          </w:p>
          <w:p w:rsidR="00025EC9" w:rsidRPr="00D466FB" w:rsidRDefault="00025EC9" w:rsidP="00025EC9">
            <w:pPr>
              <w:spacing w:before="60" w:line="260" w:lineRule="exact"/>
              <w:rPr>
                <w:rFonts w:ascii="Myriad Pro" w:hAnsi="Myriad Pro"/>
                <w:b/>
              </w:rPr>
            </w:pPr>
            <w:r w:rsidRPr="00D466FB">
              <w:rPr>
                <w:rFonts w:ascii="Myriad Pro" w:hAnsi="Myriad Pro"/>
                <w:b/>
              </w:rPr>
              <w:t>The What:</w:t>
            </w:r>
          </w:p>
          <w:p w:rsidR="00025EC9" w:rsidRDefault="0044471D" w:rsidP="00025EC9">
            <w:pPr>
              <w:spacing w:before="60" w:line="260" w:lineRule="exact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 xml:space="preserve">We have a continued focus on problem solving. More specifically, the use of a common framework for solving multi-step problems and identifying the </w:t>
            </w:r>
            <w:r w:rsidR="004F78C1">
              <w:rPr>
                <w:rFonts w:ascii="Myriad Pro" w:hAnsi="Myriad Pro"/>
                <w:sz w:val="18"/>
                <w:szCs w:val="18"/>
              </w:rPr>
              <w:t xml:space="preserve">most efficient strategy. Additionally, a focus on mindset to build students’ ability to persevere and be resilient in mathematics. </w:t>
            </w:r>
            <w:proofErr w:type="gramStart"/>
            <w:r w:rsidR="004F78C1">
              <w:rPr>
                <w:rFonts w:ascii="Myriad Pro" w:hAnsi="Myriad Pro"/>
                <w:sz w:val="18"/>
                <w:szCs w:val="18"/>
              </w:rPr>
              <w:t>Similar to</w:t>
            </w:r>
            <w:proofErr w:type="gramEnd"/>
            <w:r w:rsidR="004F78C1">
              <w:rPr>
                <w:rFonts w:ascii="Myriad Pro" w:hAnsi="Myriad Pro"/>
                <w:sz w:val="18"/>
                <w:szCs w:val="18"/>
              </w:rPr>
              <w:t xml:space="preserve"> Literacy, we are focused on having students share their strategies and communicate their thinking.</w:t>
            </w:r>
          </w:p>
          <w:p w:rsidR="004F78C1" w:rsidRDefault="004F78C1" w:rsidP="00025EC9">
            <w:pPr>
              <w:spacing w:before="60" w:line="260" w:lineRule="exact"/>
              <w:rPr>
                <w:rFonts w:ascii="Myriad Pro" w:hAnsi="Myriad Pro"/>
                <w:sz w:val="18"/>
                <w:szCs w:val="18"/>
              </w:rPr>
            </w:pPr>
          </w:p>
          <w:p w:rsidR="004F78C1" w:rsidRPr="00025EC9" w:rsidRDefault="004F78C1" w:rsidP="00025EC9">
            <w:pPr>
              <w:spacing w:before="60" w:line="260" w:lineRule="exact"/>
              <w:rPr>
                <w:rFonts w:ascii="Myriad Pro" w:hAnsi="Myriad Pro"/>
                <w:sz w:val="18"/>
                <w:szCs w:val="18"/>
              </w:rPr>
            </w:pPr>
          </w:p>
          <w:p w:rsidR="00025EC9" w:rsidRPr="00066B2D" w:rsidRDefault="00025EC9" w:rsidP="00025EC9">
            <w:pPr>
              <w:spacing w:before="60" w:line="260" w:lineRule="exact"/>
              <w:rPr>
                <w:rFonts w:ascii="Myriad Pro" w:hAnsi="Myriad Pro"/>
                <w:b/>
              </w:rPr>
            </w:pPr>
            <w:r w:rsidRPr="00066B2D">
              <w:rPr>
                <w:rFonts w:ascii="Myriad Pro" w:hAnsi="Myriad Pro"/>
                <w:b/>
              </w:rPr>
              <w:t>The How:</w:t>
            </w:r>
          </w:p>
          <w:p w:rsidR="00025EC9" w:rsidRPr="00066B2D" w:rsidRDefault="005264B9" w:rsidP="00025EC9">
            <w:pPr>
              <w:spacing w:before="60" w:line="260" w:lineRule="exact"/>
              <w:rPr>
                <w:rFonts w:ascii="Myriad Pro" w:hAnsi="Myriad Pro"/>
                <w:sz w:val="18"/>
                <w:szCs w:val="18"/>
              </w:rPr>
            </w:pPr>
            <w:r w:rsidRPr="00066B2D">
              <w:rPr>
                <w:rFonts w:ascii="Myriad Pro" w:hAnsi="Myriad Pro"/>
                <w:sz w:val="18"/>
                <w:szCs w:val="18"/>
              </w:rPr>
              <w:t>Staff will use on-going assessment data to guide instruction.</w:t>
            </w:r>
          </w:p>
          <w:p w:rsidR="005264B9" w:rsidRPr="00066B2D" w:rsidRDefault="005264B9" w:rsidP="00025EC9">
            <w:pPr>
              <w:spacing w:before="60" w:line="260" w:lineRule="exact"/>
              <w:rPr>
                <w:rFonts w:ascii="Myriad Pro" w:hAnsi="Myriad Pro"/>
                <w:sz w:val="18"/>
                <w:szCs w:val="18"/>
              </w:rPr>
            </w:pPr>
            <w:r w:rsidRPr="00066B2D">
              <w:rPr>
                <w:rFonts w:ascii="Myriad Pro" w:hAnsi="Myriad Pro"/>
                <w:sz w:val="18"/>
                <w:szCs w:val="18"/>
              </w:rPr>
              <w:t>Staff will co-create rich, authentic multi-step problems for students to solve in collaborative learning situations.</w:t>
            </w:r>
          </w:p>
          <w:p w:rsidR="005264B9" w:rsidRPr="00066B2D" w:rsidRDefault="005264B9" w:rsidP="00025EC9">
            <w:pPr>
              <w:spacing w:before="60" w:line="260" w:lineRule="exact"/>
              <w:rPr>
                <w:rFonts w:ascii="Myriad Pro" w:hAnsi="Myriad Pro"/>
                <w:sz w:val="18"/>
                <w:szCs w:val="18"/>
              </w:rPr>
            </w:pPr>
            <w:r w:rsidRPr="00066B2D">
              <w:rPr>
                <w:rFonts w:ascii="Myriad Pro" w:hAnsi="Myriad Pro"/>
                <w:sz w:val="18"/>
                <w:szCs w:val="18"/>
              </w:rPr>
              <w:t>Students will use a precisely selected set of accountable talk prompts to communicate understanding in Math.</w:t>
            </w:r>
          </w:p>
          <w:p w:rsidR="005264B9" w:rsidRPr="00066B2D" w:rsidRDefault="005264B9" w:rsidP="00025EC9">
            <w:pPr>
              <w:spacing w:before="60" w:line="260" w:lineRule="exact"/>
              <w:rPr>
                <w:rFonts w:ascii="Myriad Pro" w:hAnsi="Myriad Pro"/>
                <w:sz w:val="18"/>
                <w:szCs w:val="18"/>
              </w:rPr>
            </w:pPr>
            <w:r w:rsidRPr="00066B2D">
              <w:rPr>
                <w:rFonts w:ascii="Myriad Pro" w:hAnsi="Myriad Pro"/>
                <w:sz w:val="18"/>
                <w:szCs w:val="18"/>
              </w:rPr>
              <w:t xml:space="preserve">Using the work of Jo </w:t>
            </w:r>
            <w:proofErr w:type="spellStart"/>
            <w:r w:rsidRPr="00066B2D">
              <w:rPr>
                <w:rFonts w:ascii="Myriad Pro" w:hAnsi="Myriad Pro"/>
                <w:sz w:val="18"/>
                <w:szCs w:val="18"/>
              </w:rPr>
              <w:t>Boaler</w:t>
            </w:r>
            <w:proofErr w:type="spellEnd"/>
            <w:r w:rsidRPr="00066B2D">
              <w:rPr>
                <w:rFonts w:ascii="Myriad Pro" w:hAnsi="Myriad Pro"/>
                <w:sz w:val="18"/>
                <w:szCs w:val="18"/>
              </w:rPr>
              <w:t xml:space="preserve"> and Carol Dweck, staff will continue to focus on building a community of learning where students are able to take risks.</w:t>
            </w:r>
          </w:p>
          <w:p w:rsidR="00025EC9" w:rsidRDefault="002750F0" w:rsidP="00025EC9">
            <w:pPr>
              <w:spacing w:before="60" w:line="260" w:lineRule="exact"/>
              <w:rPr>
                <w:rFonts w:ascii="Myriad Pro" w:hAnsi="Myriad Pro"/>
                <w:sz w:val="20"/>
                <w:szCs w:val="20"/>
              </w:rPr>
            </w:pPr>
            <w:r w:rsidRPr="00E47AA1">
              <w:rPr>
                <w:rFonts w:ascii="Myriad Pro" w:hAnsi="Myriad Pro"/>
                <w:sz w:val="20"/>
                <w:szCs w:val="20"/>
              </w:rPr>
              <w:softHyphen/>
            </w:r>
            <w:r w:rsidRPr="00E47AA1">
              <w:rPr>
                <w:rFonts w:ascii="Myriad Pro" w:hAnsi="Myriad Pro"/>
                <w:sz w:val="20"/>
                <w:szCs w:val="20"/>
              </w:rPr>
              <w:softHyphen/>
            </w:r>
          </w:p>
          <w:p w:rsidR="00356978" w:rsidRPr="00C432F5" w:rsidRDefault="00356978" w:rsidP="00025EC9">
            <w:pPr>
              <w:spacing w:before="60" w:line="260" w:lineRule="exact"/>
              <w:rPr>
                <w:rFonts w:ascii="Myriad Pro" w:hAnsi="Myriad Pro"/>
              </w:rPr>
            </w:pPr>
          </w:p>
        </w:tc>
      </w:tr>
      <w:tr w:rsidR="002D084B" w:rsidTr="00066B2D">
        <w:trPr>
          <w:cantSplit/>
          <w:trHeight w:val="238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2D084B" w:rsidRPr="00965594" w:rsidRDefault="002D084B" w:rsidP="002D084B">
            <w:pPr>
              <w:jc w:val="center"/>
              <w:rPr>
                <w:rFonts w:ascii="Myriad Pro" w:hAnsi="Myriad Pro"/>
                <w:b/>
                <w:color w:val="004562"/>
                <w:sz w:val="28"/>
                <w:szCs w:val="28"/>
              </w:rPr>
            </w:pPr>
            <w:r w:rsidRPr="00356978">
              <w:rPr>
                <w:rFonts w:ascii="Myriad Pro" w:hAnsi="Myriad Pro"/>
                <w:b/>
                <w:color w:val="004562"/>
                <w:sz w:val="28"/>
                <w:szCs w:val="28"/>
              </w:rPr>
              <w:t>EQUITY AND INCLUSION</w:t>
            </w:r>
          </w:p>
        </w:tc>
        <w:tc>
          <w:tcPr>
            <w:tcW w:w="4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D4F0"/>
          </w:tcPr>
          <w:p w:rsidR="002D084B" w:rsidRPr="00B7588C" w:rsidRDefault="002D084B" w:rsidP="002D084B">
            <w:pPr>
              <w:spacing w:before="60" w:line="260" w:lineRule="exact"/>
              <w:rPr>
                <w:rFonts w:ascii="Myriad Pro" w:hAnsi="Myriad Pro"/>
                <w:b/>
              </w:rPr>
            </w:pPr>
            <w:r w:rsidRPr="00B7588C">
              <w:rPr>
                <w:rFonts w:ascii="Myriad Pro" w:hAnsi="Myriad Pro"/>
                <w:b/>
              </w:rPr>
              <w:t>Equity and inclusion focus in support of literacy goal</w:t>
            </w:r>
          </w:p>
          <w:p w:rsidR="005264B9" w:rsidRPr="00066B2D" w:rsidRDefault="005264B9" w:rsidP="002D084B">
            <w:pPr>
              <w:spacing w:before="60" w:line="260" w:lineRule="exact"/>
              <w:rPr>
                <w:rFonts w:ascii="Myriad Pro" w:hAnsi="Myriad Pro"/>
                <w:sz w:val="18"/>
                <w:szCs w:val="18"/>
              </w:rPr>
            </w:pPr>
            <w:r w:rsidRPr="00066B2D">
              <w:rPr>
                <w:rFonts w:ascii="Myriad Pro" w:hAnsi="Myriad Pro"/>
                <w:sz w:val="18"/>
                <w:szCs w:val="18"/>
              </w:rPr>
              <w:t xml:space="preserve">Staff will ensure that </w:t>
            </w:r>
            <w:r w:rsidR="00B7588C" w:rsidRPr="00066B2D">
              <w:rPr>
                <w:rFonts w:ascii="Myriad Pro" w:hAnsi="Myriad Pro"/>
                <w:sz w:val="18"/>
                <w:szCs w:val="18"/>
              </w:rPr>
              <w:t xml:space="preserve">literacy </w:t>
            </w:r>
            <w:r w:rsidRPr="00066B2D">
              <w:rPr>
                <w:rFonts w:ascii="Myriad Pro" w:hAnsi="Myriad Pro"/>
                <w:sz w:val="18"/>
                <w:szCs w:val="18"/>
              </w:rPr>
              <w:t>resources provided allow students to see themselves in the materials.</w:t>
            </w:r>
          </w:p>
          <w:p w:rsidR="00B7588C" w:rsidRPr="00066B2D" w:rsidRDefault="00B7588C" w:rsidP="002D084B">
            <w:pPr>
              <w:spacing w:before="60" w:line="260" w:lineRule="exact"/>
              <w:rPr>
                <w:rFonts w:ascii="Myriad Pro" w:hAnsi="Myriad Pro"/>
                <w:sz w:val="18"/>
                <w:szCs w:val="18"/>
              </w:rPr>
            </w:pPr>
            <w:r w:rsidRPr="00066B2D">
              <w:rPr>
                <w:rFonts w:ascii="Myriad Pro" w:hAnsi="Myriad Pro"/>
                <w:sz w:val="18"/>
                <w:szCs w:val="18"/>
              </w:rPr>
              <w:t>Students will be p</w:t>
            </w:r>
            <w:r w:rsidR="00B66A3A" w:rsidRPr="00066B2D">
              <w:rPr>
                <w:rFonts w:ascii="Myriad Pro" w:hAnsi="Myriad Pro"/>
                <w:sz w:val="18"/>
                <w:szCs w:val="18"/>
              </w:rPr>
              <w:t xml:space="preserve">rovided with the use of flexible learning environments </w:t>
            </w:r>
            <w:r w:rsidR="007439D1" w:rsidRPr="00066B2D">
              <w:rPr>
                <w:rFonts w:ascii="Myriad Pro" w:hAnsi="Myriad Pro"/>
                <w:sz w:val="18"/>
                <w:szCs w:val="18"/>
              </w:rPr>
              <w:t xml:space="preserve">in order to address differentiate learning needs. </w:t>
            </w:r>
          </w:p>
          <w:p w:rsidR="00B7588C" w:rsidRPr="00B7588C" w:rsidRDefault="00B7588C" w:rsidP="002D084B">
            <w:pPr>
              <w:spacing w:before="60" w:line="260" w:lineRule="exact"/>
              <w:rPr>
                <w:rFonts w:ascii="Myriad Pro" w:hAnsi="Myriad Pro"/>
                <w:sz w:val="20"/>
                <w:szCs w:val="20"/>
              </w:rPr>
            </w:pPr>
          </w:p>
          <w:p w:rsidR="005264B9" w:rsidRPr="00965594" w:rsidRDefault="005264B9" w:rsidP="002D084B">
            <w:pPr>
              <w:spacing w:before="60" w:line="260" w:lineRule="exact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5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1FDFF"/>
          </w:tcPr>
          <w:p w:rsidR="002D084B" w:rsidRPr="00066B2D" w:rsidRDefault="002D084B" w:rsidP="002D084B">
            <w:pPr>
              <w:spacing w:before="60" w:line="260" w:lineRule="exact"/>
              <w:rPr>
                <w:b/>
              </w:rPr>
            </w:pPr>
            <w:r w:rsidRPr="00066B2D">
              <w:rPr>
                <w:b/>
              </w:rPr>
              <w:t>Equity and inclusion focus in support of numeracy goal</w:t>
            </w:r>
          </w:p>
          <w:p w:rsidR="005264B9" w:rsidRPr="00066B2D" w:rsidRDefault="005264B9" w:rsidP="002D084B">
            <w:pPr>
              <w:spacing w:before="60" w:line="260" w:lineRule="exact"/>
              <w:rPr>
                <w:sz w:val="18"/>
                <w:szCs w:val="18"/>
              </w:rPr>
            </w:pPr>
            <w:r w:rsidRPr="00066B2D">
              <w:rPr>
                <w:sz w:val="18"/>
                <w:szCs w:val="18"/>
              </w:rPr>
              <w:t xml:space="preserve">Students will have increased </w:t>
            </w:r>
            <w:r w:rsidR="00B7588C" w:rsidRPr="00066B2D">
              <w:rPr>
                <w:sz w:val="18"/>
                <w:szCs w:val="18"/>
              </w:rPr>
              <w:t xml:space="preserve">access to the </w:t>
            </w:r>
            <w:r w:rsidRPr="00066B2D">
              <w:rPr>
                <w:sz w:val="18"/>
                <w:szCs w:val="18"/>
              </w:rPr>
              <w:t xml:space="preserve">use of technology </w:t>
            </w:r>
            <w:r w:rsidR="00B7588C" w:rsidRPr="00066B2D">
              <w:rPr>
                <w:sz w:val="18"/>
                <w:szCs w:val="18"/>
              </w:rPr>
              <w:t>at the point of instruction and the point of learning.</w:t>
            </w:r>
          </w:p>
          <w:p w:rsidR="00B66A3A" w:rsidRPr="00066B2D" w:rsidRDefault="00B66A3A" w:rsidP="002D084B">
            <w:pPr>
              <w:spacing w:before="60" w:line="260" w:lineRule="exact"/>
              <w:rPr>
                <w:sz w:val="18"/>
                <w:szCs w:val="18"/>
              </w:rPr>
            </w:pPr>
            <w:r w:rsidRPr="00066B2D">
              <w:rPr>
                <w:sz w:val="18"/>
                <w:szCs w:val="18"/>
              </w:rPr>
              <w:t>Student voice will be reflected in authentic and rich tasks.</w:t>
            </w:r>
          </w:p>
          <w:p w:rsidR="005264B9" w:rsidRPr="00066B2D" w:rsidRDefault="005264B9" w:rsidP="002D084B">
            <w:pPr>
              <w:spacing w:before="60" w:line="260" w:lineRule="exact"/>
              <w:rPr>
                <w:sz w:val="18"/>
                <w:szCs w:val="18"/>
              </w:rPr>
            </w:pPr>
            <w:r w:rsidRPr="00066B2D">
              <w:rPr>
                <w:sz w:val="18"/>
                <w:szCs w:val="18"/>
              </w:rPr>
              <w:t>Common and ongoing assessments will ensure students’ differentiated learning needs are being met.</w:t>
            </w:r>
          </w:p>
          <w:p w:rsidR="005264B9" w:rsidRPr="00965594" w:rsidRDefault="005264B9" w:rsidP="002D084B">
            <w:pPr>
              <w:spacing w:before="60" w:line="260" w:lineRule="exact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2D084B" w:rsidTr="00066B2D">
        <w:trPr>
          <w:cantSplit/>
          <w:trHeight w:val="238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2D084B" w:rsidRPr="00356978" w:rsidRDefault="002D084B" w:rsidP="002D084B">
            <w:pPr>
              <w:ind w:left="113" w:right="113"/>
              <w:jc w:val="center"/>
              <w:rPr>
                <w:rFonts w:ascii="Myriad Pro" w:hAnsi="Myriad Pro"/>
                <w:b/>
                <w:color w:val="A62B11"/>
                <w:sz w:val="28"/>
                <w:szCs w:val="28"/>
              </w:rPr>
            </w:pPr>
            <w:r w:rsidRPr="00356978">
              <w:rPr>
                <w:rFonts w:ascii="Myriad Pro" w:hAnsi="Myriad Pro"/>
                <w:b/>
                <w:color w:val="A62B11"/>
                <w:sz w:val="28"/>
                <w:szCs w:val="28"/>
              </w:rPr>
              <w:t>WELL-BEING</w:t>
            </w:r>
          </w:p>
          <w:p w:rsidR="002D084B" w:rsidRPr="00C432F5" w:rsidRDefault="002D084B" w:rsidP="002D084B">
            <w:pPr>
              <w:ind w:left="113" w:right="113"/>
              <w:jc w:val="center"/>
              <w:rPr>
                <w:rFonts w:ascii="Myriad Pro" w:hAnsi="Myriad Pro"/>
              </w:rPr>
            </w:pPr>
          </w:p>
        </w:tc>
        <w:tc>
          <w:tcPr>
            <w:tcW w:w="4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9C7EB"/>
          </w:tcPr>
          <w:p w:rsidR="002D084B" w:rsidRPr="00B7588C" w:rsidRDefault="002D084B" w:rsidP="002D084B">
            <w:pPr>
              <w:spacing w:before="60" w:line="260" w:lineRule="exact"/>
              <w:rPr>
                <w:rFonts w:ascii="Myriad Pro" w:hAnsi="Myriad Pro"/>
                <w:b/>
              </w:rPr>
            </w:pPr>
            <w:r w:rsidRPr="00B7588C">
              <w:rPr>
                <w:rFonts w:ascii="Myriad Pro" w:hAnsi="Myriad Pro"/>
                <w:b/>
              </w:rPr>
              <w:t>Well-being focus in support of literacy goal</w:t>
            </w:r>
          </w:p>
          <w:p w:rsidR="00B7588C" w:rsidRPr="007439D1" w:rsidRDefault="00B7588C" w:rsidP="002D084B">
            <w:pPr>
              <w:spacing w:before="60" w:line="260" w:lineRule="exact"/>
              <w:rPr>
                <w:rFonts w:ascii="Myriad Pro" w:hAnsi="Myriad Pro"/>
                <w:sz w:val="18"/>
                <w:szCs w:val="18"/>
              </w:rPr>
            </w:pPr>
            <w:r w:rsidRPr="007439D1">
              <w:rPr>
                <w:rFonts w:ascii="Myriad Pro" w:hAnsi="Myriad Pro"/>
                <w:sz w:val="18"/>
                <w:szCs w:val="18"/>
              </w:rPr>
              <w:t>A school-wide focus on Growth Mindset will support staff and students to work on becoming more resilient</w:t>
            </w:r>
            <w:r w:rsidR="00B31B8D" w:rsidRPr="007439D1">
              <w:rPr>
                <w:rFonts w:ascii="Myriad Pro" w:hAnsi="Myriad Pro"/>
                <w:sz w:val="18"/>
                <w:szCs w:val="18"/>
              </w:rPr>
              <w:t>, build confidence and take risks in both academic and social learning situations.</w:t>
            </w:r>
          </w:p>
          <w:p w:rsidR="00B7588C" w:rsidRPr="00C432F5" w:rsidRDefault="00B7588C" w:rsidP="002D084B">
            <w:pPr>
              <w:spacing w:before="60" w:line="260" w:lineRule="exact"/>
              <w:rPr>
                <w:rFonts w:ascii="Myriad Pro" w:hAnsi="Myriad Pro"/>
              </w:rPr>
            </w:pPr>
            <w:r w:rsidRPr="007439D1">
              <w:rPr>
                <w:rFonts w:ascii="Myriad Pro" w:hAnsi="Myriad Pro"/>
                <w:sz w:val="18"/>
                <w:szCs w:val="18"/>
              </w:rPr>
              <w:t>Continued focus on The Zones of Regulation will support students to communicate needs</w:t>
            </w:r>
            <w:r w:rsidR="00EA18C8" w:rsidRPr="007439D1">
              <w:rPr>
                <w:rFonts w:ascii="Myriad Pro" w:hAnsi="Myriad Pro"/>
                <w:sz w:val="18"/>
                <w:szCs w:val="18"/>
              </w:rPr>
              <w:t>, learn to self-regulate</w:t>
            </w:r>
            <w:r w:rsidR="00B31B8D" w:rsidRPr="007439D1">
              <w:rPr>
                <w:rFonts w:ascii="Myriad Pro" w:hAnsi="Myriad Pro"/>
                <w:sz w:val="18"/>
                <w:szCs w:val="18"/>
              </w:rPr>
              <w:t xml:space="preserve"> </w:t>
            </w:r>
            <w:r w:rsidR="00EA18C8" w:rsidRPr="007439D1">
              <w:rPr>
                <w:rFonts w:ascii="Myriad Pro" w:hAnsi="Myriad Pro"/>
                <w:sz w:val="18"/>
                <w:szCs w:val="18"/>
              </w:rPr>
              <w:t>and have more opportunities to be successful in the classroom</w:t>
            </w:r>
            <w:r w:rsidRPr="007439D1">
              <w:rPr>
                <w:rFonts w:ascii="Myriad Pro" w:hAnsi="Myriad Pro"/>
                <w:sz w:val="18"/>
                <w:szCs w:val="18"/>
              </w:rPr>
              <w:t>.</w:t>
            </w:r>
            <w:r>
              <w:rPr>
                <w:rFonts w:ascii="Myriad Pro" w:hAnsi="Myriad Pro"/>
                <w:sz w:val="18"/>
                <w:szCs w:val="18"/>
              </w:rPr>
              <w:t xml:space="preserve"> </w:t>
            </w:r>
          </w:p>
        </w:tc>
        <w:tc>
          <w:tcPr>
            <w:tcW w:w="5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FCFF"/>
          </w:tcPr>
          <w:p w:rsidR="002D084B" w:rsidRDefault="002D084B" w:rsidP="002D084B">
            <w:pPr>
              <w:spacing w:before="60" w:line="260" w:lineRule="exact"/>
              <w:rPr>
                <w:rFonts w:ascii="Myriad Pro" w:hAnsi="Myriad Pro"/>
                <w:b/>
              </w:rPr>
            </w:pPr>
            <w:r w:rsidRPr="00B7588C">
              <w:rPr>
                <w:rFonts w:ascii="Myriad Pro" w:hAnsi="Myriad Pro"/>
                <w:b/>
              </w:rPr>
              <w:t>Well-being focus in support of numeracy goal</w:t>
            </w:r>
          </w:p>
          <w:p w:rsidR="00EA18C8" w:rsidRPr="007439D1" w:rsidRDefault="00EA18C8" w:rsidP="00EA18C8">
            <w:pPr>
              <w:spacing w:before="60" w:line="260" w:lineRule="exact"/>
              <w:rPr>
                <w:rFonts w:ascii="Myriad Pro" w:hAnsi="Myriad Pro"/>
                <w:sz w:val="18"/>
                <w:szCs w:val="18"/>
              </w:rPr>
            </w:pPr>
            <w:r w:rsidRPr="007439D1">
              <w:rPr>
                <w:rFonts w:ascii="Myriad Pro" w:hAnsi="Myriad Pro"/>
                <w:sz w:val="18"/>
                <w:szCs w:val="18"/>
              </w:rPr>
              <w:t>A school-wide focus on Growth Mindset will support staff and students to work on becoming more resilient, build confidence and take risks in both academic and social learning situations.</w:t>
            </w:r>
          </w:p>
          <w:p w:rsidR="00B31B8D" w:rsidRPr="00B7588C" w:rsidRDefault="00EA18C8" w:rsidP="00EA18C8">
            <w:pPr>
              <w:spacing w:before="60" w:line="260" w:lineRule="exact"/>
              <w:rPr>
                <w:rFonts w:ascii="Myriad Pro" w:hAnsi="Myriad Pro"/>
                <w:b/>
              </w:rPr>
            </w:pPr>
            <w:r w:rsidRPr="007439D1">
              <w:rPr>
                <w:rFonts w:ascii="Myriad Pro" w:hAnsi="Myriad Pro"/>
                <w:sz w:val="18"/>
                <w:szCs w:val="18"/>
              </w:rPr>
              <w:t>Continued focus on The Zones of Regulation will support students to communicate needs, learn to self-regulate and have more opportunities to be successful in the classroom.</w:t>
            </w:r>
          </w:p>
        </w:tc>
      </w:tr>
      <w:tr w:rsidR="002D084B" w:rsidTr="00066B2D">
        <w:trPr>
          <w:cantSplit/>
          <w:trHeight w:val="238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2D084B" w:rsidRPr="00965594" w:rsidRDefault="00083E02" w:rsidP="002D084B">
            <w:pPr>
              <w:ind w:left="113" w:right="113"/>
              <w:jc w:val="center"/>
              <w:rPr>
                <w:rFonts w:ascii="Myriad Pro" w:hAnsi="Myriad Pro"/>
                <w:b/>
                <w:color w:val="F6861F"/>
                <w:sz w:val="28"/>
                <w:szCs w:val="28"/>
              </w:rPr>
            </w:pPr>
            <w:r>
              <w:rPr>
                <w:rFonts w:ascii="Myriad Pro" w:hAnsi="Myriad Pro"/>
                <w:b/>
                <w:color w:val="F6861F"/>
                <w:sz w:val="28"/>
                <w:szCs w:val="28"/>
              </w:rPr>
              <w:t xml:space="preserve">                                                                          </w:t>
            </w:r>
            <w:r w:rsidR="002D084B" w:rsidRPr="00356978">
              <w:rPr>
                <w:rFonts w:ascii="Myriad Pro" w:hAnsi="Myriad Pro"/>
                <w:b/>
                <w:color w:val="F6861F"/>
                <w:sz w:val="28"/>
                <w:szCs w:val="28"/>
              </w:rPr>
              <w:t>LEVERAGING DIGITAL</w:t>
            </w:r>
          </w:p>
        </w:tc>
        <w:tc>
          <w:tcPr>
            <w:tcW w:w="4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4B8E6"/>
          </w:tcPr>
          <w:p w:rsidR="002D084B" w:rsidRPr="00B66A3A" w:rsidRDefault="002D084B" w:rsidP="002D084B">
            <w:pPr>
              <w:spacing w:before="60" w:line="260" w:lineRule="exact"/>
              <w:rPr>
                <w:rFonts w:ascii="Myriad Pro" w:hAnsi="Myriad Pro"/>
                <w:b/>
              </w:rPr>
            </w:pPr>
            <w:r w:rsidRPr="00B66A3A">
              <w:rPr>
                <w:rFonts w:ascii="Myriad Pro" w:hAnsi="Myriad Pro"/>
                <w:b/>
              </w:rPr>
              <w:t>Leveraging digital focus in support of literacy goal</w:t>
            </w:r>
          </w:p>
          <w:p w:rsidR="00B66A3A" w:rsidRDefault="00B66A3A" w:rsidP="00B66A3A">
            <w:pPr>
              <w:spacing w:before="60" w:line="260" w:lineRule="exact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Students and staff will have increased access to technology to support learning at the point of instruction to enhance and accelerate learning.</w:t>
            </w:r>
          </w:p>
          <w:p w:rsidR="00B66A3A" w:rsidRDefault="00B66A3A" w:rsidP="00B66A3A">
            <w:pPr>
              <w:spacing w:before="60" w:line="260" w:lineRule="exact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Staff and students will begin to use Google Classroom as a tool to support collaboration and feedback to improve work.</w:t>
            </w:r>
          </w:p>
          <w:p w:rsidR="00B66A3A" w:rsidRDefault="00B66A3A" w:rsidP="00B66A3A">
            <w:pPr>
              <w:spacing w:before="60" w:line="260" w:lineRule="exact"/>
              <w:rPr>
                <w:rFonts w:ascii="Myriad Pro" w:hAnsi="Myriad Pro"/>
                <w:sz w:val="18"/>
                <w:szCs w:val="18"/>
              </w:rPr>
            </w:pPr>
          </w:p>
          <w:p w:rsidR="00B66A3A" w:rsidRPr="00C432F5" w:rsidRDefault="00B66A3A" w:rsidP="002D084B">
            <w:pPr>
              <w:spacing w:before="60" w:line="260" w:lineRule="exact"/>
              <w:rPr>
                <w:rFonts w:ascii="Myriad Pro" w:hAnsi="Myriad Pro"/>
              </w:rPr>
            </w:pPr>
          </w:p>
        </w:tc>
        <w:tc>
          <w:tcPr>
            <w:tcW w:w="5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3FBFF"/>
          </w:tcPr>
          <w:p w:rsidR="002D084B" w:rsidRPr="00B31B8D" w:rsidRDefault="002D084B" w:rsidP="002D084B">
            <w:pPr>
              <w:spacing w:before="60" w:line="260" w:lineRule="exact"/>
              <w:rPr>
                <w:rFonts w:ascii="Myriad Pro" w:hAnsi="Myriad Pro"/>
                <w:b/>
              </w:rPr>
            </w:pPr>
            <w:r w:rsidRPr="00B31B8D">
              <w:rPr>
                <w:rFonts w:ascii="Myriad Pro" w:hAnsi="Myriad Pro"/>
                <w:b/>
              </w:rPr>
              <w:t>Leveraging digital focus in support of numeracy goal</w:t>
            </w:r>
          </w:p>
          <w:p w:rsidR="00B31B8D" w:rsidRDefault="00B7588C" w:rsidP="002D084B">
            <w:pPr>
              <w:spacing w:before="60" w:line="260" w:lineRule="exact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 xml:space="preserve">Students </w:t>
            </w:r>
            <w:r w:rsidR="00D177F2">
              <w:rPr>
                <w:rFonts w:ascii="Myriad Pro" w:hAnsi="Myriad Pro"/>
                <w:sz w:val="18"/>
                <w:szCs w:val="18"/>
              </w:rPr>
              <w:t xml:space="preserve">and staff </w:t>
            </w:r>
            <w:r>
              <w:rPr>
                <w:rFonts w:ascii="Myriad Pro" w:hAnsi="Myriad Pro"/>
                <w:sz w:val="18"/>
                <w:szCs w:val="18"/>
              </w:rPr>
              <w:t>will have increased access to</w:t>
            </w:r>
            <w:r w:rsidR="00B31B8D">
              <w:rPr>
                <w:rFonts w:ascii="Myriad Pro" w:hAnsi="Myriad Pro"/>
                <w:sz w:val="18"/>
                <w:szCs w:val="18"/>
              </w:rPr>
              <w:t xml:space="preserve"> technology to support learning</w:t>
            </w:r>
            <w:r w:rsidR="00B66A3A">
              <w:rPr>
                <w:rFonts w:ascii="Myriad Pro" w:hAnsi="Myriad Pro"/>
                <w:sz w:val="18"/>
                <w:szCs w:val="18"/>
              </w:rPr>
              <w:t xml:space="preserve"> at the point of instruction to enhance and accelerate learning.</w:t>
            </w:r>
          </w:p>
          <w:p w:rsidR="00B66A3A" w:rsidRDefault="00B66A3A" w:rsidP="00B66A3A">
            <w:pPr>
              <w:spacing w:before="60" w:line="260" w:lineRule="exact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Staff and students will begin to use Google Classroom as a tool to support collaboration and feedback to improve work.</w:t>
            </w:r>
          </w:p>
          <w:p w:rsidR="00B7588C" w:rsidRDefault="00B31B8D" w:rsidP="002D084B">
            <w:pPr>
              <w:spacing w:before="60" w:line="260" w:lineRule="exact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 xml:space="preserve">Staff will have access to on-line programs such as </w:t>
            </w:r>
            <w:proofErr w:type="spellStart"/>
            <w:r>
              <w:rPr>
                <w:rFonts w:ascii="Myriad Pro" w:hAnsi="Myriad Pro"/>
                <w:sz w:val="18"/>
                <w:szCs w:val="18"/>
              </w:rPr>
              <w:t>MathUp</w:t>
            </w:r>
            <w:proofErr w:type="spellEnd"/>
            <w:r>
              <w:rPr>
                <w:rFonts w:ascii="Myriad Pro" w:hAnsi="Myriad Pro"/>
                <w:sz w:val="18"/>
                <w:szCs w:val="18"/>
              </w:rPr>
              <w:t xml:space="preserve"> to build deeper understanding of teaching Mathematics.</w:t>
            </w:r>
          </w:p>
          <w:p w:rsidR="00B7588C" w:rsidRPr="00C432F5" w:rsidRDefault="00B7588C" w:rsidP="002D084B">
            <w:pPr>
              <w:spacing w:before="60" w:line="260" w:lineRule="exact"/>
              <w:rPr>
                <w:rFonts w:ascii="Myriad Pro" w:hAnsi="Myriad Pro"/>
              </w:rPr>
            </w:pPr>
          </w:p>
        </w:tc>
      </w:tr>
    </w:tbl>
    <w:p w:rsidR="00AA18C3" w:rsidRDefault="00AA18C3"/>
    <w:sectPr w:rsidR="00AA18C3" w:rsidSect="005F60E4">
      <w:footerReference w:type="default" r:id="rId10"/>
      <w:pgSz w:w="12240" w:h="15840"/>
      <w:pgMar w:top="720" w:right="720" w:bottom="720" w:left="720" w:header="708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8BB" w:rsidRDefault="002548BB" w:rsidP="005F60E4">
      <w:pPr>
        <w:spacing w:after="0" w:line="240" w:lineRule="auto"/>
      </w:pPr>
      <w:r>
        <w:separator/>
      </w:r>
    </w:p>
  </w:endnote>
  <w:endnote w:type="continuationSeparator" w:id="0">
    <w:p w:rsidR="002548BB" w:rsidRDefault="002548BB" w:rsidP="005F6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 Math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Myriad Pro" w:hAnsi="Myriad Pro"/>
        <w:b/>
        <w:color w:val="009196"/>
        <w:sz w:val="20"/>
        <w:szCs w:val="20"/>
      </w:rPr>
      <w:id w:val="-118696651"/>
      <w:docPartObj>
        <w:docPartGallery w:val="Page Numbers (Bottom of Page)"/>
        <w:docPartUnique/>
      </w:docPartObj>
    </w:sdtPr>
    <w:sdtEndPr>
      <w:rPr>
        <w:b w:val="0"/>
        <w:noProof/>
        <w:color w:val="9B9792"/>
      </w:rPr>
    </w:sdtEndPr>
    <w:sdtContent>
      <w:p w:rsidR="00B7588C" w:rsidRPr="00CD41C7" w:rsidRDefault="00B7588C" w:rsidP="00CD41C7">
        <w:pPr>
          <w:pStyle w:val="Footer"/>
          <w:rPr>
            <w:rFonts w:ascii="Myriad Pro" w:hAnsi="Myriad Pro"/>
            <w:noProof/>
            <w:color w:val="9B9792"/>
            <w:sz w:val="20"/>
            <w:szCs w:val="20"/>
          </w:rPr>
        </w:pPr>
        <w:r>
          <w:rPr>
            <w:rFonts w:ascii="Myriad Pro" w:hAnsi="Myriad Pro"/>
            <w:b/>
            <w:color w:val="009196"/>
            <w:sz w:val="20"/>
            <w:szCs w:val="20"/>
          </w:rPr>
          <w:t>G</w:t>
        </w:r>
        <w:r w:rsidRPr="005F60E4">
          <w:rPr>
            <w:rFonts w:ascii="Myriad Pro" w:hAnsi="Myriad Pro"/>
            <w:b/>
            <w:color w:val="009196"/>
            <w:sz w:val="20"/>
            <w:szCs w:val="20"/>
          </w:rPr>
          <w:fldChar w:fldCharType="begin"/>
        </w:r>
        <w:r w:rsidRPr="005F60E4">
          <w:rPr>
            <w:rFonts w:ascii="Myriad Pro" w:hAnsi="Myriad Pro"/>
            <w:b/>
            <w:color w:val="009196"/>
            <w:sz w:val="20"/>
            <w:szCs w:val="20"/>
          </w:rPr>
          <w:instrText xml:space="preserve"> PAGE   \* MERGEFORMAT </w:instrText>
        </w:r>
        <w:r w:rsidRPr="005F60E4">
          <w:rPr>
            <w:rFonts w:ascii="Myriad Pro" w:hAnsi="Myriad Pro"/>
            <w:b/>
            <w:color w:val="009196"/>
            <w:sz w:val="20"/>
            <w:szCs w:val="20"/>
          </w:rPr>
          <w:fldChar w:fldCharType="separate"/>
        </w:r>
        <w:r w:rsidR="00D466FB">
          <w:rPr>
            <w:rFonts w:ascii="Myriad Pro" w:hAnsi="Myriad Pro"/>
            <w:b/>
            <w:noProof/>
            <w:color w:val="009196"/>
            <w:sz w:val="20"/>
            <w:szCs w:val="20"/>
          </w:rPr>
          <w:t>2</w:t>
        </w:r>
        <w:r w:rsidRPr="005F60E4">
          <w:rPr>
            <w:rFonts w:ascii="Myriad Pro" w:hAnsi="Myriad Pro"/>
            <w:b/>
            <w:noProof/>
            <w:color w:val="009196"/>
            <w:sz w:val="20"/>
            <w:szCs w:val="20"/>
          </w:rPr>
          <w:fldChar w:fldCharType="end"/>
        </w:r>
        <w:r w:rsidRPr="005F60E4">
          <w:rPr>
            <w:rFonts w:ascii="Myriad Pro" w:hAnsi="Myriad Pro"/>
            <w:b/>
            <w:noProof/>
            <w:color w:val="009196"/>
            <w:sz w:val="20"/>
            <w:szCs w:val="20"/>
          </w:rPr>
          <w:t xml:space="preserve"> </w:t>
        </w:r>
        <w:r w:rsidRPr="005F60E4">
          <w:rPr>
            <w:rFonts w:ascii="Arial" w:hAnsi="Arial" w:cs="Arial"/>
            <w:b/>
            <w:noProof/>
            <w:color w:val="009196"/>
            <w:sz w:val="20"/>
            <w:szCs w:val="20"/>
          </w:rPr>
          <w:t>│</w:t>
        </w:r>
        <w:r w:rsidRPr="005F60E4">
          <w:rPr>
            <w:rFonts w:ascii="Myriad Pro" w:hAnsi="Myriad Pro"/>
            <w:b/>
            <w:noProof/>
            <w:color w:val="009196"/>
            <w:sz w:val="20"/>
            <w:szCs w:val="20"/>
          </w:rPr>
          <w:t xml:space="preserve"> Board Improvement Plan 2018-2019</w:t>
        </w:r>
        <w:r w:rsidRPr="005F60E4">
          <w:rPr>
            <w:rFonts w:ascii="Myriad Pro" w:hAnsi="Myriad Pro"/>
            <w:noProof/>
            <w:color w:val="009196"/>
            <w:sz w:val="20"/>
            <w:szCs w:val="20"/>
          </w:rPr>
          <w:t xml:space="preserve"> </w:t>
        </w:r>
        <w:r>
          <w:rPr>
            <w:rFonts w:ascii="Myriad Pro" w:hAnsi="Myriad Pro"/>
            <w:noProof/>
            <w:color w:val="009196"/>
            <w:sz w:val="20"/>
            <w:szCs w:val="20"/>
          </w:rPr>
          <w:t xml:space="preserve">   </w:t>
        </w:r>
        <w:r w:rsidRPr="005F60E4">
          <w:rPr>
            <w:rFonts w:ascii="Myriad Pro" w:hAnsi="Myriad Pro"/>
            <w:noProof/>
            <w:color w:val="9B9792"/>
            <w:sz w:val="20"/>
            <w:szCs w:val="20"/>
          </w:rPr>
          <w:t>Compendium Document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8BB" w:rsidRDefault="002548BB" w:rsidP="005F60E4">
      <w:pPr>
        <w:spacing w:after="0" w:line="240" w:lineRule="auto"/>
      </w:pPr>
      <w:r>
        <w:separator/>
      </w:r>
    </w:p>
  </w:footnote>
  <w:footnote w:type="continuationSeparator" w:id="0">
    <w:p w:rsidR="002548BB" w:rsidRDefault="002548BB" w:rsidP="005F60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8CB"/>
    <w:rsid w:val="00025EC9"/>
    <w:rsid w:val="00066B2D"/>
    <w:rsid w:val="00066EFE"/>
    <w:rsid w:val="00083E02"/>
    <w:rsid w:val="002158CB"/>
    <w:rsid w:val="002548BB"/>
    <w:rsid w:val="002750F0"/>
    <w:rsid w:val="002D084B"/>
    <w:rsid w:val="00311A90"/>
    <w:rsid w:val="00356978"/>
    <w:rsid w:val="0044471D"/>
    <w:rsid w:val="004F78C1"/>
    <w:rsid w:val="00517201"/>
    <w:rsid w:val="005264B9"/>
    <w:rsid w:val="005F60E4"/>
    <w:rsid w:val="006077D3"/>
    <w:rsid w:val="00687E22"/>
    <w:rsid w:val="00694E31"/>
    <w:rsid w:val="007439D1"/>
    <w:rsid w:val="007F26D0"/>
    <w:rsid w:val="007F2734"/>
    <w:rsid w:val="008004EC"/>
    <w:rsid w:val="0092430A"/>
    <w:rsid w:val="00965594"/>
    <w:rsid w:val="00A14867"/>
    <w:rsid w:val="00AA18C3"/>
    <w:rsid w:val="00AD6FEE"/>
    <w:rsid w:val="00B31B8D"/>
    <w:rsid w:val="00B561C6"/>
    <w:rsid w:val="00B66A3A"/>
    <w:rsid w:val="00B7588C"/>
    <w:rsid w:val="00C432F5"/>
    <w:rsid w:val="00CD41C7"/>
    <w:rsid w:val="00D02101"/>
    <w:rsid w:val="00D177F2"/>
    <w:rsid w:val="00D466FB"/>
    <w:rsid w:val="00E47AA1"/>
    <w:rsid w:val="00E82CB5"/>
    <w:rsid w:val="00EA18C8"/>
    <w:rsid w:val="00EE7063"/>
    <w:rsid w:val="00FD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21F124"/>
  <w15:chartTrackingRefBased/>
  <w15:docId w15:val="{62762425-1A25-4B35-80A0-FCCF3290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5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6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0E4"/>
  </w:style>
  <w:style w:type="paragraph" w:styleId="Footer">
    <w:name w:val="footer"/>
    <w:basedOn w:val="Normal"/>
    <w:link w:val="FooterChar"/>
    <w:uiPriority w:val="99"/>
    <w:unhideWhenUsed/>
    <w:rsid w:val="005F6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9506114EFC4543807BBACDFE8BC5D0" ma:contentTypeVersion="4" ma:contentTypeDescription="Create a new document." ma:contentTypeScope="" ma:versionID="eefed8d46bef34cbdcf0fcd15be6db28">
  <xsd:schema xmlns:xsd="http://www.w3.org/2001/XMLSchema" xmlns:xs="http://www.w3.org/2001/XMLSchema" xmlns:p="http://schemas.microsoft.com/office/2006/metadata/properties" xmlns:ns2="a2d67f20-11bf-4636-bf2f-47ce2865414c" xmlns:ns3="8569b710-2e9d-428c-833a-185f03094403" targetNamespace="http://schemas.microsoft.com/office/2006/metadata/properties" ma:root="true" ma:fieldsID="3cd43b2ef0552aa60efe9e50c2ba1397" ns2:_="" ns3:_="">
    <xsd:import namespace="a2d67f20-11bf-4636-bf2f-47ce2865414c"/>
    <xsd:import namespace="8569b710-2e9d-428c-833a-185f030944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67f20-11bf-4636-bf2f-47ce286541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9b710-2e9d-428c-833a-185f030944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569b710-2e9d-428c-833a-185f03094403">
      <UserInfo>
        <DisplayName>GRAYSON HEFFORD</DisplayName>
        <AccountId>175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2483B-AE0B-4DC7-BC13-EA8B35E5FB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67f20-11bf-4636-bf2f-47ce2865414c"/>
    <ds:schemaRef ds:uri="8569b710-2e9d-428c-833a-185f03094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6CF005-7865-4608-81B1-5526F1A1D7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22F014-74CA-4E9B-B03A-3F88BEE15531}">
  <ds:schemaRefs>
    <ds:schemaRef ds:uri="http://schemas.microsoft.com/office/2006/metadata/properties"/>
    <ds:schemaRef ds:uri="http://schemas.microsoft.com/office/infopath/2007/PartnerControls"/>
    <ds:schemaRef ds:uri="8569b710-2e9d-428c-833a-185f03094403"/>
  </ds:schemaRefs>
</ds:datastoreItem>
</file>

<file path=customXml/itemProps4.xml><?xml version="1.0" encoding="utf-8"?>
<ds:datastoreItem xmlns:ds="http://schemas.openxmlformats.org/officeDocument/2006/customXml" ds:itemID="{FBD16579-95E6-4A93-9061-556900F0B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ImProvement Plan 2018-2019</vt:lpstr>
    </vt:vector>
  </TitlesOfParts>
  <Company>Durham District School Board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ImProvement Plan 2018-2019</dc:title>
  <dc:subject>Compendium Document</dc:subject>
  <dc:creator>ELISABETH FLAHERTY</dc:creator>
  <cp:keywords/>
  <dc:description/>
  <cp:lastModifiedBy>AARON PETERSON</cp:lastModifiedBy>
  <cp:revision>1</cp:revision>
  <dcterms:created xsi:type="dcterms:W3CDTF">2019-06-10T19:26:00Z</dcterms:created>
  <dcterms:modified xsi:type="dcterms:W3CDTF">2019-06-10T19:26:00Z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0x010100AC9506114EFC4543807BBACDFE8BC5D0</vt:lpwstr>
  </property>
</Properties>
</file>